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105" w:rsidRDefault="00DF3105" w:rsidP="00DF3105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Hlk212467419"/>
      <w:r>
        <w:rPr>
          <w:rFonts w:ascii="Times New Roman" w:hAnsi="Times New Roman" w:cs="Times New Roman"/>
          <w:b/>
          <w:bCs/>
        </w:rPr>
        <w:t>FORMULARZ OFERTY</w:t>
      </w:r>
    </w:p>
    <w:p w:rsidR="00DF3105" w:rsidRDefault="00DF3105" w:rsidP="00DF3105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r>
        <w:rPr>
          <w:rFonts w:ascii="Times New Roman" w:hAnsi="Times New Roman"/>
          <w:b/>
        </w:rPr>
        <w:t xml:space="preserve">dostawę symulatorów wysokiej wierności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DF3105" w:rsidRPr="008530C8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8530C8">
        <w:rPr>
          <w:rFonts w:ascii="Times New Roman" w:hAnsi="Times New Roman" w:cs="Times New Roman"/>
        </w:rPr>
        <w:t xml:space="preserve">w ramach projektu </w:t>
      </w:r>
      <w:bookmarkStart w:id="1" w:name="_Hlk207454535"/>
      <w:r w:rsidRPr="008530C8">
        <w:rPr>
          <w:rFonts w:ascii="Times New Roman" w:hAnsi="Times New Roman" w:cs="Times New Roman"/>
        </w:rPr>
        <w:t>„Modernizacja i wyposażenie obiektów dydaktycznych w związku ze zwiększeniem limitów przyjęć na studia medyczne” będącego elementem Inwestycji D2.1.1 pn. „Inwestycje związane z modernizacją 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bookmarkEnd w:id="1"/>
      <w:r>
        <w:rPr>
          <w:rFonts w:ascii="Times New Roman" w:hAnsi="Times New Roman" w:cs="Times New Roman"/>
        </w:rPr>
        <w:t>.</w:t>
      </w:r>
    </w:p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DF3105" w:rsidRDefault="00DF3105" w:rsidP="00DF3105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DF3105" w:rsidRPr="005511EC" w:rsidTr="00B0742F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105" w:rsidRPr="005511EC" w:rsidTr="00B0742F"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105" w:rsidRPr="005511EC" w:rsidTr="00B0742F"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105" w:rsidRPr="005511EC" w:rsidTr="00B0742F"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105" w:rsidRPr="005511EC" w:rsidTr="00B0742F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105" w:rsidRPr="005511EC" w:rsidTr="00B0742F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DF3105" w:rsidRPr="005511EC" w:rsidRDefault="00DF3105" w:rsidP="00B0742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Cena:</w:t>
      </w:r>
    </w:p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1: </w:t>
      </w:r>
      <w:r w:rsidRPr="00DF3105">
        <w:rPr>
          <w:rFonts w:ascii="Times New Roman" w:hAnsi="Times New Roman" w:cs="Times New Roman"/>
          <w:b/>
          <w:bCs/>
        </w:rPr>
        <w:t>Urazowy symulator pacjenta dorosłego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127D08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>Urazowy symulator pacjenta dorosłego</w:t>
            </w:r>
          </w:p>
        </w:tc>
        <w:tc>
          <w:tcPr>
            <w:tcW w:w="923" w:type="dxa"/>
            <w:vAlign w:val="center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Pr="009D2CC4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9D2CC4">
        <w:rPr>
          <w:rFonts w:ascii="Times New Roman" w:hAnsi="Times New Roman" w:cs="Times New Roman"/>
          <w:b/>
          <w:bCs/>
        </w:rPr>
        <w:t xml:space="preserve">Część 2. </w:t>
      </w:r>
      <w:r w:rsidRPr="00DF3105">
        <w:rPr>
          <w:rFonts w:ascii="Times New Roman" w:hAnsi="Times New Roman" w:cs="Times New Roman"/>
          <w:b/>
          <w:bCs/>
        </w:rPr>
        <w:t>Zaawansowany symulator dziecka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274B4E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>Zaawansowany symulator dziecka</w:t>
            </w:r>
          </w:p>
        </w:tc>
        <w:tc>
          <w:tcPr>
            <w:tcW w:w="923" w:type="dxa"/>
            <w:vAlign w:val="center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F3105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F3105" w:rsidRPr="00274B4E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274B4E">
        <w:rPr>
          <w:rFonts w:ascii="Times New Roman" w:hAnsi="Times New Roman" w:cs="Times New Roman"/>
          <w:b/>
          <w:bCs/>
        </w:rPr>
        <w:t xml:space="preserve">Część 3. </w:t>
      </w:r>
      <w:r w:rsidRPr="00DF3105">
        <w:rPr>
          <w:rFonts w:ascii="Times New Roman" w:hAnsi="Times New Roman" w:cs="Times New Roman"/>
          <w:b/>
          <w:bCs/>
        </w:rPr>
        <w:t>Zaawansowany symulator noworodka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127D08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>Zaawansowany symulator noworodka</w:t>
            </w:r>
          </w:p>
        </w:tc>
        <w:tc>
          <w:tcPr>
            <w:tcW w:w="923" w:type="dxa"/>
            <w:vAlign w:val="center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F3105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F3105" w:rsidRPr="00274B4E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274B4E">
        <w:rPr>
          <w:rFonts w:ascii="Times New Roman" w:hAnsi="Times New Roman" w:cs="Times New Roman"/>
          <w:b/>
          <w:bCs/>
        </w:rPr>
        <w:t xml:space="preserve">Część 4. </w:t>
      </w:r>
      <w:r w:rsidRPr="00DF3105">
        <w:rPr>
          <w:rFonts w:ascii="Times New Roman" w:hAnsi="Times New Roman" w:cs="Times New Roman"/>
          <w:b/>
          <w:bCs/>
        </w:rPr>
        <w:t>Symulator wysokiej wierności osoby dorosłej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127D08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>Symulator wysokiej wierności osoby dorosłej</w:t>
            </w:r>
          </w:p>
        </w:tc>
        <w:tc>
          <w:tcPr>
            <w:tcW w:w="923" w:type="dxa"/>
            <w:vAlign w:val="center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F3105" w:rsidRPr="001E2D8A" w:rsidTr="00B0742F">
        <w:tc>
          <w:tcPr>
            <w:tcW w:w="3606" w:type="dxa"/>
          </w:tcPr>
          <w:p w:rsidR="00DF3105" w:rsidRPr="001E2D8A" w:rsidRDefault="00DF3105" w:rsidP="00B0742F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F3105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F3105" w:rsidRPr="00C51BF4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C51BF4">
        <w:rPr>
          <w:rFonts w:ascii="Times New Roman" w:hAnsi="Times New Roman" w:cs="Times New Roman"/>
          <w:b/>
          <w:bCs/>
        </w:rPr>
        <w:t xml:space="preserve">Część 5. </w:t>
      </w:r>
      <w:r w:rsidRPr="00DF3105">
        <w:rPr>
          <w:rFonts w:ascii="Times New Roman" w:hAnsi="Times New Roman" w:cs="Times New Roman"/>
          <w:b/>
          <w:bCs/>
        </w:rPr>
        <w:t>Symulator wysokiej wierności rocznego dziecka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127D08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Symulator wysokiej wierności rocznego dzieck</w:t>
            </w:r>
            <w:r w:rsidR="00650D3A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</w:p>
        </w:tc>
        <w:tc>
          <w:tcPr>
            <w:tcW w:w="923" w:type="dxa"/>
            <w:vAlign w:val="center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F3105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F3105" w:rsidRPr="00C51BF4" w:rsidRDefault="00DF3105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C51BF4">
        <w:rPr>
          <w:rFonts w:ascii="Times New Roman" w:hAnsi="Times New Roman" w:cs="Times New Roman"/>
          <w:b/>
          <w:bCs/>
        </w:rPr>
        <w:t xml:space="preserve">Część 6. </w:t>
      </w:r>
      <w:r w:rsidRPr="00DF3105">
        <w:rPr>
          <w:rFonts w:ascii="Times New Roman" w:hAnsi="Times New Roman" w:cs="Times New Roman"/>
          <w:b/>
          <w:bCs/>
        </w:rPr>
        <w:t xml:space="preserve">System Audio-Video i </w:t>
      </w:r>
      <w:proofErr w:type="spellStart"/>
      <w:r w:rsidRPr="00DF3105">
        <w:rPr>
          <w:rFonts w:ascii="Times New Roman" w:hAnsi="Times New Roman" w:cs="Times New Roman"/>
          <w:b/>
          <w:bCs/>
        </w:rPr>
        <w:t>debriefing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DF3105" w:rsidRPr="001E2D8A" w:rsidTr="00B0742F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F3105" w:rsidRPr="008F5507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DF3105" w:rsidRPr="001E2D8A" w:rsidTr="00B0742F">
        <w:tc>
          <w:tcPr>
            <w:tcW w:w="3606" w:type="dxa"/>
          </w:tcPr>
          <w:p w:rsidR="00DF3105" w:rsidRPr="00127D08" w:rsidRDefault="00DF3105" w:rsidP="00B0742F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 xml:space="preserve">System Audio-Video i </w:t>
            </w:r>
            <w:proofErr w:type="spellStart"/>
            <w:r w:rsidRPr="00DF3105">
              <w:rPr>
                <w:rFonts w:ascii="Times New Roman" w:hAnsi="Times New Roman"/>
                <w:bCs/>
                <w:sz w:val="20"/>
                <w:szCs w:val="20"/>
              </w:rPr>
              <w:t>debriefing</w:t>
            </w:r>
            <w:proofErr w:type="spellEnd"/>
          </w:p>
        </w:tc>
        <w:tc>
          <w:tcPr>
            <w:tcW w:w="923" w:type="dxa"/>
            <w:vAlign w:val="center"/>
          </w:tcPr>
          <w:p w:rsidR="00DF3105" w:rsidRPr="001E2D8A" w:rsidRDefault="00640AB2" w:rsidP="00B074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3105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F3105" w:rsidRPr="001E2D8A" w:rsidTr="00B0742F">
        <w:tc>
          <w:tcPr>
            <w:tcW w:w="3606" w:type="dxa"/>
          </w:tcPr>
          <w:p w:rsidR="00DF3105" w:rsidRPr="001E2D8A" w:rsidRDefault="00DF3105" w:rsidP="00B0742F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F3105" w:rsidRPr="001E2D8A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40AB2" w:rsidRDefault="00640AB2" w:rsidP="00DF310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F3105" w:rsidRPr="002B2F22" w:rsidRDefault="00DF3105" w:rsidP="00DF3105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B2F22">
        <w:rPr>
          <w:rFonts w:ascii="Times New Roman" w:hAnsi="Times New Roman" w:cs="Times New Roman"/>
          <w:b/>
          <w:bCs/>
        </w:rPr>
        <w:t>Dodatkowo punktowane elementy wyposażenia: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67"/>
        <w:gridCol w:w="3543"/>
        <w:gridCol w:w="2977"/>
        <w:gridCol w:w="987"/>
      </w:tblGrid>
      <w:tr w:rsidR="00DF3105" w:rsidRPr="00093E6F" w:rsidTr="00650D3A">
        <w:tc>
          <w:tcPr>
            <w:tcW w:w="993" w:type="dxa"/>
            <w:shd w:val="clear" w:color="auto" w:fill="D9D9D9" w:themeFill="background1" w:themeFillShade="D9"/>
          </w:tcPr>
          <w:p w:rsidR="00DF3105" w:rsidRPr="00093E6F" w:rsidRDefault="00DF3105" w:rsidP="00B0742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Część</w:t>
            </w:r>
          </w:p>
        </w:tc>
        <w:tc>
          <w:tcPr>
            <w:tcW w:w="4110" w:type="dxa"/>
            <w:gridSpan w:val="2"/>
            <w:shd w:val="clear" w:color="auto" w:fill="D9D9D9" w:themeFill="background1" w:themeFillShade="D9"/>
          </w:tcPr>
          <w:p w:rsidR="00DF3105" w:rsidRPr="00093E6F" w:rsidRDefault="00DF3105" w:rsidP="00B0742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Parametr dodatkowo punktowany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F3105" w:rsidRPr="00093E6F" w:rsidRDefault="00DF3105" w:rsidP="00B0742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Punkty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:rsidR="00DF3105" w:rsidRPr="00093E6F" w:rsidRDefault="00DF3105" w:rsidP="00B0742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Tak / Nie</w:t>
            </w:r>
          </w:p>
        </w:tc>
      </w:tr>
      <w:tr w:rsidR="009F04B5" w:rsidRPr="00093E6F" w:rsidTr="00650D3A">
        <w:tc>
          <w:tcPr>
            <w:tcW w:w="993" w:type="dxa"/>
            <w:vMerge w:val="restart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Część 2</w:t>
            </w:r>
          </w:p>
        </w:tc>
        <w:tc>
          <w:tcPr>
            <w:tcW w:w="567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543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Rozszerzanie i zwężanie źrenic, możliwość ustawienia anizokorii z poziomu oprogramowania sterującego  </w:t>
            </w:r>
          </w:p>
        </w:tc>
        <w:tc>
          <w:tcPr>
            <w:tcW w:w="2977" w:type="dxa"/>
          </w:tcPr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dodatkowo punktowany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Brak – 0 pkt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Tak – 10 pkt</w:t>
            </w:r>
          </w:p>
        </w:tc>
        <w:tc>
          <w:tcPr>
            <w:tcW w:w="987" w:type="dxa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04B5" w:rsidRPr="00093E6F" w:rsidTr="00650D3A">
        <w:tc>
          <w:tcPr>
            <w:tcW w:w="993" w:type="dxa"/>
            <w:vMerge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543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Automatyczna reakcja źrenic na światło z regulacją czasu reakcji </w:t>
            </w:r>
          </w:p>
          <w:p w:rsidR="009F04B5" w:rsidRPr="00093E6F" w:rsidRDefault="009F04B5" w:rsidP="009F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dodatkowo punktowany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Brak – 0 pkt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Tak – 10 pkt</w:t>
            </w:r>
          </w:p>
        </w:tc>
        <w:tc>
          <w:tcPr>
            <w:tcW w:w="987" w:type="dxa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04B5" w:rsidRPr="00093E6F" w:rsidTr="00650D3A">
        <w:tc>
          <w:tcPr>
            <w:tcW w:w="993" w:type="dxa"/>
            <w:vMerge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543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Możliwość szczelnego założenia rurki tracheotomijnej i wentylacji przez nią </w:t>
            </w:r>
          </w:p>
          <w:p w:rsidR="009F04B5" w:rsidRPr="00093E6F" w:rsidRDefault="009F04B5" w:rsidP="009F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dodatkowo punktowany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Brak – 0 pkt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Tak – 10 pkt</w:t>
            </w:r>
          </w:p>
        </w:tc>
        <w:tc>
          <w:tcPr>
            <w:tcW w:w="987" w:type="dxa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04B5" w:rsidRPr="00093E6F" w:rsidTr="00650D3A">
        <w:tc>
          <w:tcPr>
            <w:tcW w:w="993" w:type="dxa"/>
            <w:vMerge w:val="restart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Część 3</w:t>
            </w: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543" w:type="dxa"/>
          </w:tcPr>
          <w:p w:rsidR="009F04B5" w:rsidRPr="00093E6F" w:rsidRDefault="009F04B5" w:rsidP="009F04B5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Możliwość instalacji oprogramowania sterującego na kilku stanowiskach instruktorskich bez dodatkowych opłat licencyjnych lub ograniczeń w liczbie użytkowników</w:t>
            </w:r>
          </w:p>
        </w:tc>
        <w:tc>
          <w:tcPr>
            <w:tcW w:w="2977" w:type="dxa"/>
          </w:tcPr>
          <w:p w:rsidR="009F04B5" w:rsidRPr="00650D3A" w:rsidRDefault="009F04B5" w:rsidP="009F0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dodatkowo punktowany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Brak – 0 pkt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Tak – 10 pkt</w:t>
            </w:r>
          </w:p>
        </w:tc>
        <w:tc>
          <w:tcPr>
            <w:tcW w:w="987" w:type="dxa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04B5" w:rsidRPr="00093E6F" w:rsidTr="00650D3A">
        <w:tc>
          <w:tcPr>
            <w:tcW w:w="993" w:type="dxa"/>
            <w:vMerge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04B5" w:rsidRPr="00093E6F" w:rsidRDefault="009F04B5" w:rsidP="009F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543" w:type="dxa"/>
          </w:tcPr>
          <w:p w:rsidR="009F04B5" w:rsidRPr="00093E6F" w:rsidRDefault="009F04B5" w:rsidP="009F04B5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Jeden komputer sterujący może sterować kilkoma różnymi symulatorami bez dodatkowych licencji</w:t>
            </w:r>
          </w:p>
        </w:tc>
        <w:tc>
          <w:tcPr>
            <w:tcW w:w="2977" w:type="dxa"/>
          </w:tcPr>
          <w:p w:rsidR="009F04B5" w:rsidRPr="00650D3A" w:rsidRDefault="009F04B5" w:rsidP="009F0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dodatkowo punktowany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Brak – 0 pkt</w:t>
            </w:r>
          </w:p>
          <w:p w:rsidR="009F04B5" w:rsidRPr="00650D3A" w:rsidRDefault="009F04B5" w:rsidP="009F04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Tak – 10 pkt</w:t>
            </w:r>
          </w:p>
        </w:tc>
        <w:tc>
          <w:tcPr>
            <w:tcW w:w="987" w:type="dxa"/>
          </w:tcPr>
          <w:p w:rsidR="009F04B5" w:rsidRPr="00093E6F" w:rsidRDefault="009F04B5" w:rsidP="009F04B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 w:val="restart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>Część 4:</w:t>
            </w: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543" w:type="dxa"/>
          </w:tcPr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Oprogramowanie zawierające bibliotekę minimum 20 rytmów pracy serca.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punktowany:</w:t>
            </w:r>
          </w:p>
          <w:p w:rsidR="00674ACF" w:rsidRPr="00650D3A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20 rytmów – 0 pkt</w:t>
            </w:r>
          </w:p>
          <w:p w:rsidR="00674ACF" w:rsidRPr="00650D3A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Powyżej 20 rytmów – 5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 xml:space="preserve">Powyżej 30 rytmów – 10 pkt 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543" w:type="dxa"/>
          </w:tcPr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Generowanie minimum 3. rodzajów skurczów dodatkowych w zapisie EKG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Parametr punktowany: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2 skurcze – 0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3 skurcze – 5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Powyżej 3 skurczy – 10 pkt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543" w:type="dxa"/>
          </w:tcPr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>Generowanie minimum 2. rodzajów artefaktów w zapisie EKG.</w:t>
            </w:r>
          </w:p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>Artefakty w zapisie EKG mogą być powodowane zewnętrznymi czynnikami, takimi jak defibrylacja czy uciskanie klatki piersiowej.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Parametr punktowany: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2 artefakty – 0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Powyżej 2 artefaktów – 5 pkt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543" w:type="dxa"/>
          </w:tcPr>
          <w:p w:rsidR="00674ACF" w:rsidRPr="00093E6F" w:rsidRDefault="00674ACF" w:rsidP="00674ACF">
            <w:pPr>
              <w:tabs>
                <w:tab w:val="num" w:pos="0"/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>Obustronnie wyczuwalne tętno co najmniej na tętnicach szyjnych, udowych i grzbietowych stopy.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Parametr punktowany 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Tętno wyczuwalne obustronnie na tętnicach szyjnych, udowych i grzbietowych stopy – 0 pkt.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Tętno wyczuwalnie obustronnie na tętnicach szyjnych, udowych, </w:t>
            </w: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podkolanowych i grzbietowych stopy – 5 pkt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rPr>
          <w:trHeight w:val="2271"/>
        </w:trPr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543" w:type="dxa"/>
          </w:tcPr>
          <w:p w:rsidR="00674ACF" w:rsidRPr="00093E6F" w:rsidRDefault="00674ACF" w:rsidP="00674ACF">
            <w:pPr>
              <w:tabs>
                <w:tab w:val="num" w:pos="0"/>
                <w:tab w:val="num" w:pos="7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Osłuchiwanie tonów serca oraz wad zastawkowych w minimum czterech miejscach na klatce piersiowej z możliwością niezależnego ustawienia dźwięku w każdym z miejsc.</w:t>
            </w:r>
          </w:p>
          <w:p w:rsidR="00674ACF" w:rsidRPr="00093E6F" w:rsidRDefault="00674ACF" w:rsidP="00650D3A">
            <w:pPr>
              <w:tabs>
                <w:tab w:val="num" w:pos="0"/>
                <w:tab w:val="num" w:pos="72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Minimum 10 rodzajów tonów serca.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Parametr punktowany: 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10 tonów – 0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15 tonów– 5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bCs/>
                <w:sz w:val="20"/>
                <w:szCs w:val="20"/>
              </w:rPr>
              <w:t>Powyżej 15 tonów – 10 pkt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543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Minimum 8 rożnych szmerów oddechowych z regulacją ich głośności ustalanych niezależnie dla prawego i lewego płuca.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 xml:space="preserve">Parametr punktowany: 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8 szmerów – 0 pkt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Powyżej 8 szmerów – 10 pkt.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ACF" w:rsidRPr="00093E6F" w:rsidTr="00650D3A">
        <w:tc>
          <w:tcPr>
            <w:tcW w:w="993" w:type="dxa"/>
            <w:vMerge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543" w:type="dxa"/>
            <w:vAlign w:val="center"/>
          </w:tcPr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Budowa scenariuszy zdarzeń przez użytkownika przy użyciu dołączonego oprogramowania.</w:t>
            </w:r>
          </w:p>
          <w:p w:rsidR="00674ACF" w:rsidRPr="00093E6F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Bezpłatny, bezterminowy dostęp w ramach dostarczonego zestawu dla minimum 10 użytkowników.</w:t>
            </w:r>
          </w:p>
        </w:tc>
        <w:tc>
          <w:tcPr>
            <w:tcW w:w="2977" w:type="dxa"/>
            <w:vAlign w:val="center"/>
          </w:tcPr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 xml:space="preserve">Parametr punktowany </w:t>
            </w:r>
          </w:p>
          <w:p w:rsidR="00674ACF" w:rsidRPr="00650D3A" w:rsidRDefault="00674ACF" w:rsidP="00674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Min. 10 użytkowników – 0 pkt.</w:t>
            </w:r>
          </w:p>
          <w:p w:rsidR="00674ACF" w:rsidRPr="00650D3A" w:rsidRDefault="00674ACF" w:rsidP="0067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Nieograniczona ilość użytkowników – 10 pkt.</w:t>
            </w:r>
          </w:p>
        </w:tc>
        <w:tc>
          <w:tcPr>
            <w:tcW w:w="987" w:type="dxa"/>
          </w:tcPr>
          <w:p w:rsidR="00674ACF" w:rsidRPr="00093E6F" w:rsidRDefault="00674ACF" w:rsidP="00674AC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2D04" w:rsidRPr="00093E6F" w:rsidTr="00650D3A">
        <w:tc>
          <w:tcPr>
            <w:tcW w:w="993" w:type="dxa"/>
            <w:vMerge w:val="restart"/>
          </w:tcPr>
          <w:p w:rsidR="004D2D04" w:rsidRPr="00093E6F" w:rsidRDefault="004D2D04" w:rsidP="004D2D04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5: </w:t>
            </w:r>
          </w:p>
        </w:tc>
        <w:tc>
          <w:tcPr>
            <w:tcW w:w="567" w:type="dxa"/>
            <w:vAlign w:val="center"/>
          </w:tcPr>
          <w:p w:rsidR="004D2D04" w:rsidRPr="00093E6F" w:rsidRDefault="004D2D04" w:rsidP="004D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543" w:type="dxa"/>
            <w:vAlign w:val="center"/>
          </w:tcPr>
          <w:p w:rsidR="004D2D04" w:rsidRPr="00093E6F" w:rsidRDefault="004D2D04" w:rsidP="004D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Słyszalne, prawidłowe i patologiczne dźwięki oddechowe i szmery płuc za pomocą standardowego stetoskopu, przynajmniej 4 punkty osłuchowe na przedniej ścianie klatki piersiowej i 4 na plecach. Min. 6 szmerów płucnych.</w:t>
            </w:r>
          </w:p>
        </w:tc>
        <w:tc>
          <w:tcPr>
            <w:tcW w:w="2977" w:type="dxa"/>
            <w:vAlign w:val="center"/>
          </w:tcPr>
          <w:p w:rsidR="004D2D04" w:rsidRPr="00650D3A" w:rsidRDefault="004D2D04" w:rsidP="004D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punktowany:</w:t>
            </w:r>
          </w:p>
          <w:p w:rsidR="004D2D04" w:rsidRPr="00650D3A" w:rsidRDefault="004D2D04" w:rsidP="004D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6 szmerów płucnych – 0 pkt.</w:t>
            </w:r>
          </w:p>
          <w:p w:rsidR="004D2D04" w:rsidRPr="00650D3A" w:rsidRDefault="004D2D04" w:rsidP="004D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7 i więcej – 10 pkt.</w:t>
            </w:r>
          </w:p>
        </w:tc>
        <w:tc>
          <w:tcPr>
            <w:tcW w:w="987" w:type="dxa"/>
          </w:tcPr>
          <w:p w:rsidR="004D2D04" w:rsidRPr="00093E6F" w:rsidRDefault="004D2D04" w:rsidP="004D2D04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2D04" w:rsidRPr="00093E6F" w:rsidTr="00650D3A">
        <w:tc>
          <w:tcPr>
            <w:tcW w:w="993" w:type="dxa"/>
            <w:vMerge/>
          </w:tcPr>
          <w:p w:rsidR="004D2D04" w:rsidRPr="00093E6F" w:rsidRDefault="004D2D04" w:rsidP="004D2D04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D2D04" w:rsidRPr="00093E6F" w:rsidRDefault="004D2D04" w:rsidP="004D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543" w:type="dxa"/>
          </w:tcPr>
          <w:p w:rsidR="004D2D04" w:rsidRPr="00093E6F" w:rsidRDefault="004D2D04" w:rsidP="004D2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Możliwość założenia dostępu </w:t>
            </w:r>
            <w:proofErr w:type="spellStart"/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doszpikowego</w:t>
            </w:r>
            <w:proofErr w:type="spellEnd"/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podawania i aspiracji płynów</w:t>
            </w:r>
          </w:p>
        </w:tc>
        <w:tc>
          <w:tcPr>
            <w:tcW w:w="2977" w:type="dxa"/>
            <w:vAlign w:val="center"/>
          </w:tcPr>
          <w:p w:rsidR="004D2D04" w:rsidRPr="00650D3A" w:rsidRDefault="004D2D04" w:rsidP="004D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Parametr punktowany:</w:t>
            </w:r>
          </w:p>
          <w:p w:rsidR="004D2D04" w:rsidRPr="00093E6F" w:rsidRDefault="004D2D04" w:rsidP="004D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D3A">
              <w:rPr>
                <w:rFonts w:ascii="Times New Roman" w:hAnsi="Times New Roman" w:cs="Times New Roman"/>
                <w:sz w:val="20"/>
                <w:szCs w:val="20"/>
              </w:rPr>
              <w:t>Tylko na jednej kończynie – 0</w:t>
            </w: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 xml:space="preserve"> pkt.</w:t>
            </w:r>
          </w:p>
          <w:p w:rsidR="004D2D04" w:rsidRPr="00093E6F" w:rsidRDefault="004D2D04" w:rsidP="004D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Na 2 lub więcej – 10 pkt.</w:t>
            </w:r>
          </w:p>
        </w:tc>
        <w:tc>
          <w:tcPr>
            <w:tcW w:w="987" w:type="dxa"/>
          </w:tcPr>
          <w:p w:rsidR="004D2D04" w:rsidRPr="00093E6F" w:rsidRDefault="004D2D04" w:rsidP="004D2D04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F3105" w:rsidRDefault="00DF3105" w:rsidP="00DF3105">
      <w:pPr>
        <w:pStyle w:val="Akapitzlist1"/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3105" w:rsidRDefault="00DF3105" w:rsidP="00DF3105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Gwarancja – 36 miesięcy lub więcej:</w:t>
      </w:r>
    </w:p>
    <w:tbl>
      <w:tblPr>
        <w:tblW w:w="9170" w:type="dxa"/>
        <w:tblInd w:w="-108" w:type="dxa"/>
        <w:tblCellMar>
          <w:top w:w="40" w:type="dxa"/>
          <w:right w:w="67" w:type="dxa"/>
        </w:tblCellMar>
        <w:tblLook w:val="04A0" w:firstRow="1" w:lastRow="0" w:firstColumn="1" w:lastColumn="0" w:noHBand="0" w:noVBand="1"/>
      </w:tblPr>
      <w:tblGrid>
        <w:gridCol w:w="1500"/>
        <w:gridCol w:w="4132"/>
        <w:gridCol w:w="1311"/>
        <w:gridCol w:w="1118"/>
        <w:gridCol w:w="1109"/>
      </w:tblGrid>
      <w:tr w:rsidR="00DF3105" w:rsidRPr="00817D7F" w:rsidTr="00093E6F">
        <w:trPr>
          <w:trHeight w:val="447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Pozycja zamówienia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Okres gwarancji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 / Nie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Default="00DF3105" w:rsidP="00B0742F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Liczba punktów</w:t>
            </w:r>
          </w:p>
          <w:p w:rsidR="00DF3105" w:rsidRDefault="00DF3105" w:rsidP="00B0742F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/ 10</w:t>
            </w:r>
          </w:p>
        </w:tc>
      </w:tr>
      <w:tr w:rsidR="00DF3105" w:rsidRPr="00817D7F" w:rsidTr="00093E6F">
        <w:trPr>
          <w:trHeight w:val="44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790141" w:rsidRDefault="00790141" w:rsidP="00B0742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0141">
              <w:rPr>
                <w:rFonts w:ascii="Times New Roman" w:hAnsi="Times New Roman" w:cs="Times New Roman"/>
                <w:bCs/>
                <w:sz w:val="20"/>
                <w:szCs w:val="20"/>
              </w:rPr>
              <w:t>Urazowy symulator pacjenta dorosłego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105" w:rsidRPr="00817D7F" w:rsidTr="00093E6F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790141" w:rsidRDefault="00790141" w:rsidP="00B074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0141">
              <w:rPr>
                <w:rFonts w:ascii="Times New Roman" w:hAnsi="Times New Roman" w:cs="Times New Roman"/>
                <w:sz w:val="20"/>
                <w:szCs w:val="20"/>
              </w:rPr>
              <w:t>Zaawansowany symulator dziecka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Default="00DF3105" w:rsidP="00B0742F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105" w:rsidRPr="00817D7F" w:rsidTr="00093E6F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790141" w:rsidRDefault="00790141" w:rsidP="00B074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0141">
              <w:rPr>
                <w:rFonts w:ascii="Times New Roman" w:hAnsi="Times New Roman" w:cs="Times New Roman"/>
                <w:sz w:val="20"/>
                <w:szCs w:val="20"/>
              </w:rPr>
              <w:t>Zaawansowany symulator noworodka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Default="00DF3105" w:rsidP="00B0742F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105" w:rsidRPr="00817D7F" w:rsidTr="00093E6F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093E6F" w:rsidRDefault="00093E6F" w:rsidP="00B074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Symulator wysokiej wierności osoby dorosłej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Default="00DF3105" w:rsidP="00B0742F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105" w:rsidRPr="00817D7F" w:rsidTr="00093E6F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093E6F" w:rsidRDefault="00093E6F" w:rsidP="00B074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93E6F">
              <w:rPr>
                <w:rFonts w:ascii="Times New Roman" w:hAnsi="Times New Roman" w:cs="Times New Roman"/>
                <w:sz w:val="20"/>
                <w:szCs w:val="20"/>
              </w:rPr>
              <w:t>Symulator wysokiej wierności rocznego dziecka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Default="00DF3105" w:rsidP="00B0742F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93E6F" w:rsidRPr="00817D7F" w:rsidTr="00093E6F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E6F" w:rsidRPr="00817D7F" w:rsidRDefault="00093E6F" w:rsidP="00093E6F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E6F" w:rsidRPr="00093E6F" w:rsidRDefault="00093E6F" w:rsidP="00093E6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System Audio-Video i </w:t>
            </w:r>
            <w:proofErr w:type="spellStart"/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>debriefing</w:t>
            </w:r>
            <w:proofErr w:type="spellEnd"/>
            <w:r w:rsidRPr="00093E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E6F" w:rsidRDefault="00093E6F" w:rsidP="00093E6F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E6F" w:rsidRPr="00817D7F" w:rsidRDefault="00093E6F" w:rsidP="00093E6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E6F" w:rsidRPr="00817D7F" w:rsidRDefault="00093E6F" w:rsidP="00093E6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105" w:rsidRPr="00817D7F" w:rsidTr="00093E6F">
        <w:trPr>
          <w:trHeight w:val="44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3105" w:rsidRPr="00817D7F" w:rsidRDefault="00DF3105" w:rsidP="00B0742F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F3105" w:rsidRPr="00817D7F" w:rsidRDefault="00DF3105" w:rsidP="00B0742F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F3105" w:rsidRPr="00817D7F" w:rsidRDefault="00DF3105" w:rsidP="00B0742F">
            <w:pPr>
              <w:spacing w:after="0" w:line="259" w:lineRule="auto"/>
              <w:ind w:right="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 xml:space="preserve">Łączna wartość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>punktów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>:</w:t>
            </w: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105" w:rsidRPr="00817D7F" w:rsidRDefault="00DF3105" w:rsidP="00B0742F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F3105" w:rsidRDefault="00DF3105" w:rsidP="00DF3105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DF3105" w:rsidRDefault="00DF3105" w:rsidP="00DF3105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oferty jest ceną za wykonanie całego zamówienia oraz uwzględnia wszystkie wymagania wobec Wykonawcy, wyszczególnione w </w:t>
      </w:r>
      <w:r w:rsidRPr="00980023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DF3105" w:rsidRDefault="00DF3105" w:rsidP="00DF3105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Zapoznał się dokładnie z treścią </w:t>
      </w:r>
      <w:r w:rsidRPr="00980023">
        <w:rPr>
          <w:rFonts w:ascii="Times New Roman" w:hAnsi="Times New Roman" w:cs="Times New Roman"/>
          <w:i/>
        </w:rPr>
        <w:t>zaproszenia do składania ofert</w:t>
      </w:r>
      <w:r>
        <w:rPr>
          <w:rFonts w:ascii="Times New Roman" w:hAnsi="Times New Roman" w:cs="Times New Roman"/>
        </w:rPr>
        <w:t xml:space="preserve"> oraz nie wnosi uwag i zastrzeżeń do przedmiotu i warunków zamówienia. Wykonawca zobowiązuje się ponadto do wykonania przedmiotu zamówienia w terminie i zgodnie z wymaganiami Zamawiającego określonymi </w:t>
      </w:r>
      <w:r>
        <w:rPr>
          <w:rFonts w:ascii="Times New Roman" w:hAnsi="Times New Roman" w:cs="Times New Roman"/>
        </w:rPr>
        <w:br/>
        <w:t>w zaproszeniu do składania ofert.</w:t>
      </w:r>
    </w:p>
    <w:p w:rsidR="00DF3105" w:rsidRDefault="00DF3105" w:rsidP="00DF3105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w </w:t>
      </w:r>
      <w:r w:rsidRPr="00980023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 xml:space="preserve">. </w:t>
      </w:r>
    </w:p>
    <w:p w:rsidR="00DF3105" w:rsidRDefault="00DF3105" w:rsidP="00DF3105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z istotnymi warunkami umowy stanowiącymi załącznik do ogłoszenia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 xml:space="preserve">. zamówienia i w razie uznania jego oferty za najkorzystniejszą zobowiązuje się do zawarcia umowy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zamówienia w terminie podanym przez Zamawiającego.</w:t>
      </w:r>
    </w:p>
    <w:p w:rsidR="00DF3105" w:rsidRPr="00C327D0" w:rsidRDefault="00DF3105" w:rsidP="00DF3105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</w:t>
      </w:r>
      <w:r w:rsidRPr="00C327D0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składek na ubezpieczenie zdrowotne lub społeczne</w:t>
      </w:r>
      <w:r>
        <w:rPr>
          <w:rFonts w:ascii="Times New Roman" w:hAnsi="Times New Roman" w:cs="Times New Roman"/>
        </w:rPr>
        <w:t xml:space="preserve"> /</w:t>
      </w:r>
      <w:r w:rsidRPr="00C327D0">
        <w:rPr>
          <w:rFonts w:ascii="Times New Roman" w:hAnsi="Times New Roman" w:cs="Times New Roman"/>
        </w:rPr>
        <w:t xml:space="preserve"> 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wstrzymanie w całości wykonania decyzji właściwego organu</w:t>
      </w:r>
      <w:r>
        <w:rPr>
          <w:rStyle w:val="Odwoanieprzypisudolnego"/>
        </w:rPr>
        <w:footnoteReference w:id="1"/>
      </w:r>
      <w:r w:rsidRPr="00C327D0">
        <w:rPr>
          <w:rFonts w:ascii="Times New Roman" w:hAnsi="Times New Roman" w:cs="Times New Roman"/>
        </w:rPr>
        <w:t xml:space="preserve">; </w:t>
      </w:r>
    </w:p>
    <w:p w:rsidR="00DF3105" w:rsidRDefault="00DF3105" w:rsidP="00DF3105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n</w:t>
      </w:r>
      <w:r w:rsidRPr="00C327D0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podatków</w:t>
      </w:r>
      <w:r>
        <w:rPr>
          <w:rFonts w:ascii="Times New Roman" w:hAnsi="Times New Roman" w:cs="Times New Roman"/>
        </w:rPr>
        <w:t xml:space="preserve"> / </w:t>
      </w:r>
      <w:r w:rsidRPr="00C327D0">
        <w:rPr>
          <w:rFonts w:ascii="Times New Roman" w:hAnsi="Times New Roman" w:cs="Times New Roman"/>
        </w:rPr>
        <w:t>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rozłożenie na raty zaległych płatności, lub wstrzymanie w całości wykonania decyzji organu podatkowego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warunków udziału w postępowaniu.</w:t>
      </w:r>
    </w:p>
    <w:p w:rsidR="00DF3105" w:rsidRDefault="00DF3105" w:rsidP="00DF31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DF3105" w:rsidRDefault="00DF3105" w:rsidP="00DF31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DF3105" w:rsidRDefault="00DF3105" w:rsidP="00DF31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niepodleganiu wykluczeniu z postępowania </w:t>
      </w:r>
    </w:p>
    <w:p w:rsidR="00DF3105" w:rsidRDefault="00DF3105" w:rsidP="00DF31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3"/>
      </w:r>
    </w:p>
    <w:p w:rsidR="00DF3105" w:rsidRDefault="00DF3105" w:rsidP="00DF3105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3E6F" w:rsidRDefault="00093E6F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1 do oferty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DF3105" w:rsidRDefault="00DF3105" w:rsidP="00DF3105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4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.……………………………………………………………………  składając ofertę na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 xml:space="preserve">dostawę </w:t>
      </w:r>
      <w:r w:rsidR="00093E6F">
        <w:rPr>
          <w:rFonts w:ascii="Times New Roman" w:hAnsi="Times New Roman"/>
          <w:b/>
        </w:rPr>
        <w:t>symulatorów wysokiej wierności</w:t>
      </w:r>
      <w:r>
        <w:rPr>
          <w:rFonts w:ascii="Times New Roman" w:hAnsi="Times New Roman"/>
          <w:b/>
        </w:rPr>
        <w:t xml:space="preserve"> </w:t>
      </w:r>
      <w:r w:rsidRPr="00573D67">
        <w:rPr>
          <w:rFonts w:ascii="Times New Roman" w:hAnsi="Times New Roman"/>
          <w:b/>
        </w:rPr>
        <w:t xml:space="preserve">dla Wydziału Nauk o Zdrowiu </w:t>
      </w:r>
      <w:r w:rsidR="00093E6F">
        <w:rPr>
          <w:rFonts w:ascii="Times New Roman" w:hAnsi="Times New Roman"/>
          <w:b/>
        </w:rPr>
        <w:br/>
      </w:r>
      <w:r w:rsidRPr="00573D67">
        <w:rPr>
          <w:rFonts w:ascii="Times New Roman" w:hAnsi="Times New Roman"/>
          <w:b/>
        </w:rPr>
        <w:t>i Wydziału Lekarskiego Collegium Medicum Uniwersytetu Andrzeja Frycza Modrzewskiego</w:t>
      </w:r>
    </w:p>
    <w:p w:rsidR="00DF3105" w:rsidRDefault="00DF3105" w:rsidP="00DF3105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oświadcza, że</w:t>
      </w:r>
      <w:r w:rsidRPr="00980023">
        <w:rPr>
          <w:rFonts w:ascii="Times New Roman" w:hAnsi="Times New Roman" w:cs="Times New Roman"/>
        </w:rPr>
        <w:t xml:space="preserve"> </w:t>
      </w:r>
      <w:r w:rsidRPr="00FB432A">
        <w:rPr>
          <w:rFonts w:ascii="Times New Roman" w:hAnsi="Times New Roman" w:cs="Times New Roman"/>
        </w:rPr>
        <w:t xml:space="preserve">ma udokumentowane </w:t>
      </w:r>
      <w:r>
        <w:rPr>
          <w:rFonts w:ascii="Times New Roman" w:hAnsi="Times New Roman"/>
          <w:sz w:val="24"/>
          <w:szCs w:val="24"/>
        </w:rPr>
        <w:t>doświadczenie w realizacji zamówień na dostawę</w:t>
      </w:r>
      <w:r>
        <w:rPr>
          <w:rFonts w:ascii="Times New Roman" w:hAnsi="Times New Roman" w:cs="Times New Roman"/>
        </w:rPr>
        <w:t>: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color w:val="auto"/>
          <w:sz w:val="20"/>
          <w:szCs w:val="20"/>
        </w:rPr>
        <w:t>w odniesieniu do Części 1</w:t>
      </w:r>
      <w:r w:rsidRPr="00FA19D9">
        <w:rPr>
          <w:rFonts w:ascii="Times New Roman" w:hAnsi="Times New Roman"/>
          <w:color w:val="auto"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 xml:space="preserve">urazowego symulatora pacjenta dorosłego </w:t>
      </w:r>
      <w:r w:rsidRPr="00FA19D9">
        <w:rPr>
          <w:rFonts w:ascii="Times New Roman" w:hAnsi="Times New Roman"/>
          <w:color w:val="auto"/>
          <w:sz w:val="20"/>
          <w:szCs w:val="20"/>
        </w:rPr>
        <w:t>- wymagane zrealizowanie co najmniej 2 dostaw w okresie ostatnich 3 latach, w tym co najmniej jednego na kwotę 300 000,00 zł</w:t>
      </w:r>
      <w:r w:rsidRPr="00FA19D9">
        <w:rPr>
          <w:rFonts w:ascii="Times New Roman" w:hAnsi="Times New Roman"/>
          <w:bCs/>
          <w:sz w:val="20"/>
          <w:szCs w:val="20"/>
        </w:rPr>
        <w:t>;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bCs/>
          <w:sz w:val="20"/>
          <w:szCs w:val="20"/>
        </w:rPr>
        <w:t>w odniesieniu do Części 2</w:t>
      </w:r>
      <w:r w:rsidRPr="00FA19D9">
        <w:rPr>
          <w:rFonts w:ascii="Times New Roman" w:hAnsi="Times New Roman"/>
          <w:bCs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>zaawansowanego symulatora dziecka</w:t>
      </w:r>
      <w:r w:rsidRPr="00FA19D9">
        <w:rPr>
          <w:rFonts w:ascii="Times New Roman" w:hAnsi="Times New Roman"/>
          <w:bCs/>
          <w:sz w:val="20"/>
          <w:szCs w:val="20"/>
        </w:rPr>
        <w:t xml:space="preserve">, </w:t>
      </w:r>
      <w:r w:rsidRPr="00FA19D9">
        <w:rPr>
          <w:rFonts w:ascii="Times New Roman" w:hAnsi="Times New Roman"/>
          <w:color w:val="auto"/>
          <w:sz w:val="20"/>
          <w:szCs w:val="20"/>
        </w:rPr>
        <w:t>wymagane zrealizowanie co najmniej 2 dostaw w okresie ostatnich 3 lat, w tym co najmniej jednego na kwotę 100 000,00 zł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bCs/>
          <w:sz w:val="20"/>
          <w:szCs w:val="20"/>
        </w:rPr>
        <w:t>w odniesieniu do Części 3</w:t>
      </w:r>
      <w:r w:rsidRPr="00FA19D9">
        <w:rPr>
          <w:rFonts w:ascii="Times New Roman" w:hAnsi="Times New Roman"/>
          <w:bCs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>zaawansowanego symulatora noworodka</w:t>
      </w:r>
      <w:r w:rsidRPr="00FA19D9">
        <w:rPr>
          <w:rFonts w:ascii="Times New Roman" w:hAnsi="Times New Roman"/>
          <w:bCs/>
          <w:sz w:val="20"/>
          <w:szCs w:val="20"/>
        </w:rPr>
        <w:t xml:space="preserve"> - </w:t>
      </w:r>
      <w:r w:rsidRPr="00FA19D9">
        <w:rPr>
          <w:rFonts w:ascii="Times New Roman" w:hAnsi="Times New Roman"/>
          <w:color w:val="auto"/>
          <w:sz w:val="20"/>
          <w:szCs w:val="20"/>
        </w:rPr>
        <w:t>wymagane zrealizowanie co najmniej 2 dostaw w okresie ostatnich 3 lat, w tym co najmniej jednego na kwotę 100 000,00 zł;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bCs/>
          <w:sz w:val="20"/>
          <w:szCs w:val="20"/>
        </w:rPr>
        <w:t>w odniesieniu do Części 4</w:t>
      </w:r>
      <w:r w:rsidRPr="00FA19D9">
        <w:rPr>
          <w:rFonts w:ascii="Times New Roman" w:hAnsi="Times New Roman"/>
          <w:bCs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>symulatora wysokiej wierności osoby dorosłej</w:t>
      </w:r>
      <w:r w:rsidRPr="00FA19D9">
        <w:rPr>
          <w:rFonts w:ascii="Times New Roman" w:hAnsi="Times New Roman"/>
          <w:bCs/>
          <w:sz w:val="20"/>
          <w:szCs w:val="20"/>
        </w:rPr>
        <w:t xml:space="preserve">, </w:t>
      </w:r>
      <w:r w:rsidRPr="00FA19D9">
        <w:rPr>
          <w:rFonts w:ascii="Times New Roman" w:hAnsi="Times New Roman"/>
          <w:color w:val="auto"/>
          <w:sz w:val="20"/>
          <w:szCs w:val="20"/>
        </w:rPr>
        <w:t>wymagane zrealizowanie co najmniej 2 dostaw w okresie ostatnich 3 lat, w tym co najmniej jednego na kwotę 300 000,00 zł;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bCs/>
          <w:sz w:val="20"/>
          <w:szCs w:val="20"/>
        </w:rPr>
        <w:t>w odniesieniu do Części 5</w:t>
      </w:r>
      <w:r w:rsidRPr="00FA19D9">
        <w:rPr>
          <w:rFonts w:ascii="Times New Roman" w:hAnsi="Times New Roman"/>
          <w:bCs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>symulatora wysokiej wierności rocznego dziecka</w:t>
      </w:r>
      <w:r w:rsidRPr="00FA19D9">
        <w:rPr>
          <w:rFonts w:ascii="Times New Roman" w:hAnsi="Times New Roman"/>
          <w:bCs/>
          <w:sz w:val="20"/>
          <w:szCs w:val="20"/>
        </w:rPr>
        <w:t xml:space="preserve">, </w:t>
      </w:r>
      <w:r w:rsidRPr="00FA19D9">
        <w:rPr>
          <w:rFonts w:ascii="Times New Roman" w:hAnsi="Times New Roman"/>
          <w:color w:val="auto"/>
          <w:sz w:val="20"/>
          <w:szCs w:val="20"/>
        </w:rPr>
        <w:t>wymagane zrealizowanie co najmniej 2 dostaw w okresie ostatnich 3 lat, w tym co najmniej jednego na kwotę 100 000,00 zł;</w:t>
      </w:r>
    </w:p>
    <w:p w:rsidR="00093E6F" w:rsidRPr="00FA19D9" w:rsidRDefault="00093E6F" w:rsidP="00093E6F">
      <w:pPr>
        <w:pStyle w:val="Akapitzlist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A19D9">
        <w:rPr>
          <w:rFonts w:ascii="Times New Roman" w:hAnsi="Times New Roman"/>
          <w:b/>
          <w:bCs/>
          <w:sz w:val="20"/>
          <w:szCs w:val="20"/>
        </w:rPr>
        <w:t>w odniesieniu do Części 6</w:t>
      </w:r>
      <w:r w:rsidRPr="00FA19D9">
        <w:rPr>
          <w:rFonts w:ascii="Times New Roman" w:hAnsi="Times New Roman"/>
          <w:bCs/>
          <w:sz w:val="20"/>
          <w:szCs w:val="20"/>
        </w:rPr>
        <w:t xml:space="preserve"> - na dostawę </w:t>
      </w:r>
      <w:r w:rsidRPr="00FA19D9">
        <w:rPr>
          <w:rFonts w:ascii="Times New Roman" w:hAnsi="Times New Roman"/>
          <w:b/>
          <w:bCs/>
          <w:sz w:val="20"/>
          <w:szCs w:val="20"/>
        </w:rPr>
        <w:t xml:space="preserve">systemu Audio-Video i </w:t>
      </w:r>
      <w:proofErr w:type="spellStart"/>
      <w:r w:rsidRPr="00FA19D9">
        <w:rPr>
          <w:rFonts w:ascii="Times New Roman" w:hAnsi="Times New Roman"/>
          <w:b/>
          <w:bCs/>
          <w:sz w:val="20"/>
          <w:szCs w:val="20"/>
        </w:rPr>
        <w:t>debriefingu</w:t>
      </w:r>
      <w:proofErr w:type="spellEnd"/>
      <w:r w:rsidRPr="00FA19D9">
        <w:rPr>
          <w:rFonts w:ascii="Times New Roman" w:hAnsi="Times New Roman"/>
          <w:bCs/>
          <w:sz w:val="20"/>
          <w:szCs w:val="20"/>
        </w:rPr>
        <w:t xml:space="preserve">, </w:t>
      </w:r>
      <w:r w:rsidRPr="00FA19D9">
        <w:rPr>
          <w:rFonts w:ascii="Times New Roman" w:hAnsi="Times New Roman"/>
          <w:color w:val="auto"/>
          <w:sz w:val="20"/>
          <w:szCs w:val="20"/>
        </w:rPr>
        <w:t>wymagane zrealizowanie co najmniej 2 dostaw w okresie ostatnich 3 lat, w tym co najmniej jednego na kwotę 100 000,00 zł;</w:t>
      </w:r>
    </w:p>
    <w:p w:rsidR="00DF3105" w:rsidRPr="00980023" w:rsidRDefault="00DF3105" w:rsidP="00DF3105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GoBack"/>
      <w:bookmarkEnd w:id="2"/>
      <w:r w:rsidRPr="00980023">
        <w:rPr>
          <w:rFonts w:ascii="Times New Roman" w:hAnsi="Times New Roman" w:cs="Times New Roman"/>
        </w:rPr>
        <w:t>na dowód czego przedkłada poniższy wykaz zrealizowanych dostaw oraz dokumenty potwierdzające ich prawidłową realizację:</w:t>
      </w:r>
    </w:p>
    <w:p w:rsidR="00DF3105" w:rsidRDefault="00DF3105" w:rsidP="00DF3105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DF3105" w:rsidRPr="005511EC" w:rsidTr="00B0742F">
        <w:tc>
          <w:tcPr>
            <w:tcW w:w="0" w:type="auto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Dostawa</w:t>
            </w:r>
          </w:p>
        </w:tc>
        <w:tc>
          <w:tcPr>
            <w:tcW w:w="1276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DF3105" w:rsidRPr="005511EC" w:rsidTr="00B0742F">
        <w:tc>
          <w:tcPr>
            <w:tcW w:w="0" w:type="auto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05" w:rsidRPr="005511EC" w:rsidTr="00B0742F">
        <w:tc>
          <w:tcPr>
            <w:tcW w:w="0" w:type="auto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05" w:rsidRPr="005511EC" w:rsidTr="00B0742F">
        <w:tc>
          <w:tcPr>
            <w:tcW w:w="0" w:type="auto"/>
          </w:tcPr>
          <w:p w:rsidR="00DF3105" w:rsidRPr="005511EC" w:rsidRDefault="00DF3105" w:rsidP="00B074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F3105" w:rsidRPr="005511EC" w:rsidRDefault="00DF3105" w:rsidP="00B0742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3105" w:rsidRDefault="00DF3105" w:rsidP="00DF3105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DF3105" w:rsidRDefault="00DF3105" w:rsidP="00DF3105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dysponuje osobami zdolnymi do wykonania zamówienia, zgodnie z wymogami </w:t>
      </w:r>
      <w:r>
        <w:rPr>
          <w:rFonts w:ascii="Times New Roman" w:hAnsi="Times New Roman" w:cs="Times New Roman"/>
        </w:rPr>
        <w:lastRenderedPageBreak/>
        <w:t>wskazanymi w zaproszeniu do składania ofert oraz zobowiązuje się udokumentować tą okoliczność na wezwanie Zamawiającego.</w:t>
      </w:r>
    </w:p>
    <w:p w:rsidR="00DF3105" w:rsidRDefault="00DF3105" w:rsidP="00DF3105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DF3105" w:rsidRDefault="00DF3105" w:rsidP="00DF3105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2 do oferty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5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.………………………………………………………….. ………………………………………...…………………………………………………………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DF3105" w:rsidRDefault="00DF3105" w:rsidP="00DF3105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DF3105" w:rsidRDefault="00DF3105" w:rsidP="00DF3105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DF3105" w:rsidRDefault="00DF3105" w:rsidP="00DF3105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DF3105" w:rsidRPr="00444A38" w:rsidRDefault="00DF3105" w:rsidP="00DF3105">
      <w:pPr>
        <w:pStyle w:val="Akapitzlist"/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F3105" w:rsidRPr="00444A38" w:rsidRDefault="00DF3105" w:rsidP="00DF3105">
      <w:pPr>
        <w:pStyle w:val="Akapitzlist"/>
        <w:numPr>
          <w:ilvl w:val="0"/>
          <w:numId w:val="5"/>
        </w:numPr>
        <w:spacing w:before="120"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DF3105" w:rsidRDefault="00DF3105" w:rsidP="00DF3105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3105" w:rsidRPr="00F807DE" w:rsidRDefault="00DF3105" w:rsidP="00DF31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F3105" w:rsidRDefault="00DF3105" w:rsidP="00DF3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05" w:rsidRDefault="00DF3105" w:rsidP="00DF3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05" w:rsidRDefault="00DF3105" w:rsidP="00DF3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DF3105" w:rsidRPr="0049527B" w:rsidRDefault="00DF3105" w:rsidP="00DF3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105" w:rsidRDefault="00DF3105" w:rsidP="00DF3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105" w:rsidRDefault="00DF3105" w:rsidP="00DF31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105" w:rsidRDefault="00DF3105" w:rsidP="00DF3105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0C8">
        <w:rPr>
          <w:rFonts w:ascii="Times New Roman" w:hAnsi="Times New Roman" w:cs="Times New Roman"/>
        </w:rPr>
        <w:t xml:space="preserve">„Modernizacja i wyposażenie obiektów dydaktycznych w związku ze zwiększeniem limitów przyjęć na studia medyczne” będącego elementem Inwestycji D2.1.1 pn. „Inwestycje związane z modernizacją </w:t>
      </w:r>
      <w:r>
        <w:rPr>
          <w:rFonts w:ascii="Times New Roman" w:hAnsi="Times New Roman" w:cs="Times New Roman"/>
        </w:rPr>
        <w:br/>
      </w:r>
      <w:r w:rsidRPr="008530C8">
        <w:rPr>
          <w:rFonts w:ascii="Times New Roman" w:hAnsi="Times New Roman" w:cs="Times New Roman"/>
        </w:rPr>
        <w:t>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r>
        <w:rPr>
          <w:rFonts w:ascii="Times New Roman" w:hAnsi="Times New Roman" w:cs="Times New Roman"/>
        </w:rPr>
        <w:t xml:space="preserve"> </w:t>
      </w:r>
    </w:p>
    <w:p w:rsidR="00DF3105" w:rsidRDefault="00DF3105" w:rsidP="00DF31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3105" w:rsidRPr="00D36A36" w:rsidRDefault="00DF3105" w:rsidP="00DF31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DF3105" w:rsidRPr="00D36A36" w:rsidRDefault="00DF3105" w:rsidP="00DF3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sz w:val="24"/>
          <w:szCs w:val="24"/>
        </w:rPr>
        <w:t>.</w:t>
      </w:r>
    </w:p>
    <w:p w:rsidR="00DF3105" w:rsidRDefault="00DF3105" w:rsidP="00DF3105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3105" w:rsidRDefault="00DF3105" w:rsidP="00DF3105"/>
    <w:p w:rsidR="00DF3105" w:rsidRDefault="00DF3105" w:rsidP="00DF3105"/>
    <w:p w:rsidR="00DF3105" w:rsidRDefault="00DF3105" w:rsidP="00DF3105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DF3105" w:rsidRPr="00481225" w:rsidRDefault="00DF3105" w:rsidP="00DF3105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 xml:space="preserve">podpis i pieczęć 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DF3105" w:rsidRDefault="00DF3105" w:rsidP="00DF3105"/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/>
    <w:p w:rsidR="00DF3105" w:rsidRDefault="00DF3105" w:rsidP="00DF3105"/>
    <w:p w:rsidR="00DF3105" w:rsidRDefault="00DF3105" w:rsidP="00DF3105">
      <w:pPr>
        <w:spacing w:after="160" w:line="259" w:lineRule="auto"/>
      </w:pPr>
      <w:r>
        <w:br w:type="page"/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4 do oferty</w:t>
      </w: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DF3105" w:rsidRDefault="00DF3105" w:rsidP="00DF3105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</w:p>
    <w:p w:rsidR="00DF3105" w:rsidRDefault="00DF3105" w:rsidP="00DF3105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DF3105" w:rsidRDefault="00DF3105" w:rsidP="00DF3105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</w:t>
      </w:r>
    </w:p>
    <w:p w:rsidR="00DF3105" w:rsidRPr="00713D86" w:rsidRDefault="00DF3105" w:rsidP="00DF3105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(pełna nazwa/firma, adres, w zależności od podmiotu: NIP/PESEL</w:t>
      </w:r>
      <w:r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DF3105" w:rsidRDefault="00DF3105" w:rsidP="00DF310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</w:p>
    <w:p w:rsidR="00DF3105" w:rsidRPr="00640FDA" w:rsidRDefault="00DF3105" w:rsidP="00DF310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  <w:r>
        <w:rPr>
          <w:rFonts w:eastAsia="Calibri" w:cs="Arial"/>
          <w:sz w:val="24"/>
          <w:szCs w:val="24"/>
          <w:u w:val="single"/>
        </w:rPr>
        <w:t xml:space="preserve"> </w:t>
      </w:r>
      <w:r w:rsidRPr="00D8098B">
        <w:rPr>
          <w:rFonts w:eastAsia="Calibri" w:cs="Arial"/>
          <w:sz w:val="24"/>
          <w:szCs w:val="24"/>
        </w:rPr>
        <w:t>…………………………………………………………………………………………………….</w:t>
      </w:r>
    </w:p>
    <w:p w:rsidR="00DF3105" w:rsidRDefault="00DF3105" w:rsidP="00DF3105">
      <w:pPr>
        <w:spacing w:after="0" w:line="240" w:lineRule="auto"/>
        <w:rPr>
          <w:b/>
          <w:sz w:val="24"/>
          <w:u w:val="single"/>
          <w:lang w:eastAsia="pl-PL"/>
        </w:rPr>
      </w:pPr>
    </w:p>
    <w:p w:rsidR="00DF3105" w:rsidRDefault="00DF3105" w:rsidP="00DF3105">
      <w:pPr>
        <w:spacing w:after="0" w:line="240" w:lineRule="auto"/>
        <w:rPr>
          <w:b/>
          <w:sz w:val="24"/>
          <w:u w:val="single"/>
          <w:lang w:eastAsia="pl-PL"/>
        </w:rPr>
      </w:pPr>
    </w:p>
    <w:p w:rsidR="00DF3105" w:rsidRDefault="00DF3105" w:rsidP="00DF3105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OŚWIADCZENIE WYKONAWCY</w:t>
      </w:r>
    </w:p>
    <w:p w:rsidR="00DF3105" w:rsidRDefault="00DF3105" w:rsidP="00DF3105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 NIEPODLEGANIU WYKLUCZENIU Z POSTĘPOWANIA</w:t>
      </w:r>
    </w:p>
    <w:p w:rsidR="00DF3105" w:rsidRPr="00B06B9E" w:rsidRDefault="00DF3105" w:rsidP="00DF3105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</w:p>
    <w:p w:rsidR="00DF3105" w:rsidRPr="00D8098B" w:rsidRDefault="00DF3105" w:rsidP="00DF3105">
      <w:pPr>
        <w:spacing w:after="0" w:line="240" w:lineRule="auto"/>
        <w:jc w:val="both"/>
        <w:rPr>
          <w:sz w:val="24"/>
          <w:szCs w:val="24"/>
          <w:lang w:eastAsia="pl-PL"/>
        </w:rPr>
      </w:pPr>
      <w:r w:rsidRPr="00B06B9E">
        <w:rPr>
          <w:sz w:val="24"/>
          <w:szCs w:val="24"/>
          <w:lang w:eastAsia="pl-PL"/>
        </w:rPr>
        <w:t xml:space="preserve">na podstawie </w:t>
      </w:r>
      <w:r w:rsidRPr="00A95F00">
        <w:rPr>
          <w:sz w:val="24"/>
          <w:szCs w:val="24"/>
          <w:lang w:eastAsia="pl-PL"/>
        </w:rPr>
        <w:t xml:space="preserve">art.  </w:t>
      </w:r>
      <w:r>
        <w:rPr>
          <w:sz w:val="24"/>
          <w:szCs w:val="24"/>
          <w:lang w:eastAsia="pl-PL"/>
        </w:rPr>
        <w:t xml:space="preserve">1 pkt 3 </w:t>
      </w:r>
      <w:r w:rsidRPr="00D8098B">
        <w:rPr>
          <w:sz w:val="24"/>
          <w:szCs w:val="24"/>
          <w:lang w:eastAsia="pl-PL"/>
        </w:rPr>
        <w:t xml:space="preserve">Ustawa z dnia 13 kwietnia 2022 r. o szczególnych rozwiązaniach </w:t>
      </w:r>
      <w:r>
        <w:rPr>
          <w:sz w:val="24"/>
          <w:szCs w:val="24"/>
          <w:lang w:eastAsia="pl-PL"/>
        </w:rPr>
        <w:br/>
      </w:r>
      <w:r w:rsidRPr="00D8098B">
        <w:rPr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D8098B">
        <w:rPr>
          <w:sz w:val="24"/>
          <w:szCs w:val="24"/>
          <w:lang w:eastAsia="pl-PL"/>
        </w:rPr>
        <w:t>t.j</w:t>
      </w:r>
      <w:proofErr w:type="spellEnd"/>
      <w:r w:rsidRPr="00D8098B">
        <w:rPr>
          <w:sz w:val="24"/>
          <w:szCs w:val="24"/>
          <w:lang w:eastAsia="pl-PL"/>
        </w:rPr>
        <w:t>. Dz. U. z 2025 r. poz. 514).</w:t>
      </w:r>
    </w:p>
    <w:p w:rsidR="00DF3105" w:rsidRPr="007C09D6" w:rsidRDefault="00DF3105" w:rsidP="00DF3105">
      <w:pPr>
        <w:spacing w:after="0" w:line="240" w:lineRule="auto"/>
        <w:jc w:val="both"/>
        <w:rPr>
          <w:b/>
          <w:sz w:val="36"/>
          <w:szCs w:val="36"/>
          <w:lang w:eastAsia="pl-PL"/>
        </w:rPr>
      </w:pPr>
    </w:p>
    <w:p w:rsidR="00DF3105" w:rsidRPr="00B06B9E" w:rsidRDefault="00DF3105" w:rsidP="00DF3105">
      <w:pPr>
        <w:widowControl w:val="0"/>
        <w:spacing w:after="0" w:line="240" w:lineRule="auto"/>
        <w:jc w:val="both"/>
        <w:rPr>
          <w:sz w:val="24"/>
          <w:szCs w:val="24"/>
          <w:u w:val="single"/>
          <w:lang w:eastAsia="pl-PL"/>
        </w:rPr>
      </w:pPr>
    </w:p>
    <w:p w:rsidR="00DF3105" w:rsidRPr="009F7B64" w:rsidRDefault="00DF3105" w:rsidP="00DF3105">
      <w:pPr>
        <w:widowControl w:val="0"/>
        <w:suppressAutoHyphens/>
        <w:spacing w:after="0" w:line="240" w:lineRule="auto"/>
        <w:jc w:val="both"/>
        <w:rPr>
          <w:b/>
          <w:sz w:val="24"/>
          <w:szCs w:val="24"/>
          <w:lang w:eastAsia="pl-PL"/>
        </w:rPr>
      </w:pPr>
      <w:r w:rsidRPr="009F7B64">
        <w:rPr>
          <w:b/>
          <w:sz w:val="24"/>
          <w:szCs w:val="24"/>
          <w:lang w:eastAsia="pl-PL"/>
        </w:rPr>
        <w:t>OŚWIADCZENIA DOTYCZĄCE WYKONAWCY</w:t>
      </w:r>
    </w:p>
    <w:p w:rsidR="00DF3105" w:rsidRDefault="00DF3105" w:rsidP="00DF3105">
      <w:pPr>
        <w:pStyle w:val="Akapitzlist"/>
        <w:ind w:left="284"/>
        <w:jc w:val="both"/>
        <w:rPr>
          <w:sz w:val="24"/>
          <w:szCs w:val="24"/>
          <w:lang w:eastAsia="pl-PL"/>
        </w:rPr>
      </w:pPr>
    </w:p>
    <w:p w:rsidR="00DF3105" w:rsidRPr="007D3A39" w:rsidRDefault="00DF3105" w:rsidP="00DF3105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95F00">
        <w:rPr>
          <w:sz w:val="24"/>
          <w:szCs w:val="24"/>
          <w:lang w:eastAsia="pl-PL"/>
        </w:rPr>
        <w:t xml:space="preserve">Oświadczam, że nie zachodzą w stosunku do mnie przesłanki wykluczenia z postępowania na podstawie art.  7 ust. 1 </w:t>
      </w:r>
      <w:r w:rsidRPr="007D3A39">
        <w:rPr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D3A39">
        <w:rPr>
          <w:sz w:val="24"/>
          <w:szCs w:val="24"/>
          <w:lang w:eastAsia="pl-PL"/>
        </w:rPr>
        <w:t>t.j</w:t>
      </w:r>
      <w:proofErr w:type="spellEnd"/>
      <w:r w:rsidRPr="007D3A39">
        <w:rPr>
          <w:sz w:val="24"/>
          <w:szCs w:val="24"/>
          <w:lang w:eastAsia="pl-PL"/>
        </w:rPr>
        <w:t>. Dz. U. z 2025 r. poz. 514)</w:t>
      </w:r>
      <w:r>
        <w:rPr>
          <w:rStyle w:val="Odwoanieprzypisudolnego"/>
          <w:sz w:val="24"/>
          <w:szCs w:val="24"/>
          <w:lang w:eastAsia="pl-PL"/>
        </w:rPr>
        <w:footnoteReference w:id="6"/>
      </w:r>
      <w:r w:rsidRPr="007D3A39">
        <w:rPr>
          <w:sz w:val="24"/>
          <w:szCs w:val="24"/>
          <w:lang w:eastAsia="pl-PL"/>
        </w:rPr>
        <w:t>.</w:t>
      </w:r>
    </w:p>
    <w:p w:rsidR="00DF3105" w:rsidRPr="00DB5EFB" w:rsidRDefault="00DF3105" w:rsidP="00DF3105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DF3105" w:rsidRDefault="00DF3105" w:rsidP="00DF3105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DF3105" w:rsidRDefault="00DF3105" w:rsidP="00DF3105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DF3105" w:rsidRPr="003A58F6" w:rsidRDefault="00DF3105" w:rsidP="00DF3105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DF3105" w:rsidRPr="003A58F6" w:rsidRDefault="00DF3105" w:rsidP="00DF3105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</w:t>
      </w:r>
      <w:proofErr w:type="gramStart"/>
      <w:r w:rsidRPr="003A58F6">
        <w:rPr>
          <w:rFonts w:cs="Times New Roman"/>
          <w:sz w:val="20"/>
          <w:szCs w:val="20"/>
        </w:rPr>
        <w:t xml:space="preserve">miejscowość)   </w:t>
      </w:r>
      <w:proofErr w:type="gramEnd"/>
      <w:r w:rsidRPr="003A58F6">
        <w:rPr>
          <w:rFonts w:cs="Times New Roman"/>
          <w:sz w:val="20"/>
          <w:szCs w:val="20"/>
        </w:rPr>
        <w:t xml:space="preserve">                                                                                                (podpis Wykonawcy)</w:t>
      </w:r>
    </w:p>
    <w:bookmarkEnd w:id="0"/>
    <w:p w:rsidR="00A81411" w:rsidRDefault="00A81411"/>
    <w:sectPr w:rsidR="00A814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C72" w:rsidRDefault="005F1C72" w:rsidP="00DF3105">
      <w:pPr>
        <w:spacing w:after="0" w:line="240" w:lineRule="auto"/>
      </w:pPr>
      <w:r>
        <w:separator/>
      </w:r>
    </w:p>
  </w:endnote>
  <w:endnote w:type="continuationSeparator" w:id="0">
    <w:p w:rsidR="005F1C72" w:rsidRDefault="005F1C72" w:rsidP="00DF3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C72" w:rsidRDefault="005F1C72" w:rsidP="00DF3105">
      <w:pPr>
        <w:spacing w:after="0" w:line="240" w:lineRule="auto"/>
      </w:pPr>
      <w:r>
        <w:separator/>
      </w:r>
    </w:p>
  </w:footnote>
  <w:footnote w:type="continuationSeparator" w:id="0">
    <w:p w:rsidR="005F1C72" w:rsidRDefault="005F1C72" w:rsidP="00DF3105">
      <w:pPr>
        <w:spacing w:after="0" w:line="240" w:lineRule="auto"/>
      </w:pPr>
      <w:r>
        <w:continuationSeparator/>
      </w:r>
    </w:p>
  </w:footnote>
  <w:footnote w:id="1">
    <w:p w:rsidR="00DF3105" w:rsidRDefault="00DF3105" w:rsidP="00DF31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DF3105" w:rsidRDefault="00DF3105" w:rsidP="00DF31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3">
    <w:p w:rsidR="00DF3105" w:rsidRDefault="00DF3105" w:rsidP="00DF31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:rsidR="00DF3105" w:rsidRDefault="00DF3105" w:rsidP="00DF310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:rsidR="00DF3105" w:rsidRDefault="00DF3105" w:rsidP="00DF310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6">
    <w:p w:rsidR="00DF3105" w:rsidRPr="002D4F63" w:rsidRDefault="00DF3105" w:rsidP="00DF3105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:rsidR="00DF3105" w:rsidRPr="007D3A39" w:rsidRDefault="00DF3105" w:rsidP="00DF3105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1) </w:t>
      </w:r>
      <w:r w:rsidRPr="007D3A39">
        <w:rPr>
          <w:rFonts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DF3105" w:rsidRPr="007D3A39" w:rsidRDefault="00DF3105" w:rsidP="00DF3105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2)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D3A39">
        <w:rPr>
          <w:rFonts w:cstheme="minorHAnsi"/>
          <w:color w:val="222222"/>
          <w:sz w:val="16"/>
          <w:szCs w:val="16"/>
          <w:lang w:eastAsia="pl-PL"/>
        </w:rPr>
        <w:t>późn</w:t>
      </w:r>
      <w:proofErr w:type="spellEnd"/>
      <w:r w:rsidRPr="007D3A39">
        <w:rPr>
          <w:rFonts w:cstheme="minorHAnsi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DF3105" w:rsidRPr="002D4F63" w:rsidRDefault="00DF3105" w:rsidP="00DF3105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3)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D4F63">
        <w:rPr>
          <w:rFonts w:cstheme="minorHAnsi"/>
          <w:color w:val="222222"/>
          <w:sz w:val="16"/>
          <w:szCs w:val="16"/>
          <w:lang w:eastAsia="pl-PL"/>
        </w:rPr>
        <w:t>.</w:t>
      </w:r>
    </w:p>
    <w:p w:rsidR="00DF3105" w:rsidRDefault="00DF3105" w:rsidP="00DF310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48" w:rsidRDefault="00A7592E" w:rsidP="00896248">
    <w:pPr>
      <w:pStyle w:val="Nagwek"/>
      <w:jc w:val="center"/>
    </w:pPr>
    <w:r>
      <w:rPr>
        <w:noProof/>
      </w:rPr>
      <w:drawing>
        <wp:inline distT="0" distB="0" distL="0" distR="0" wp14:anchorId="7EA28F56" wp14:editId="3D61D3FA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32A" w:rsidRDefault="00A7592E" w:rsidP="00896248">
    <w:pPr>
      <w:spacing w:after="0" w:line="259" w:lineRule="auto"/>
      <w:ind w:left="-1" w:right="8"/>
      <w:jc w:val="right"/>
    </w:pPr>
    <w:r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63867"/>
    <w:multiLevelType w:val="hybridMultilevel"/>
    <w:tmpl w:val="EB2A6DE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81097A"/>
    <w:multiLevelType w:val="multilevel"/>
    <w:tmpl w:val="7E4251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05"/>
    <w:rsid w:val="00093E6F"/>
    <w:rsid w:val="004D2D04"/>
    <w:rsid w:val="005973BF"/>
    <w:rsid w:val="005F1C72"/>
    <w:rsid w:val="00606DF3"/>
    <w:rsid w:val="00640AB2"/>
    <w:rsid w:val="00650D3A"/>
    <w:rsid w:val="00674ACF"/>
    <w:rsid w:val="00790141"/>
    <w:rsid w:val="009F04B5"/>
    <w:rsid w:val="00A7592E"/>
    <w:rsid w:val="00A81411"/>
    <w:rsid w:val="00A8294A"/>
    <w:rsid w:val="00DF3105"/>
    <w:rsid w:val="00FA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57D"/>
  <w15:chartTrackingRefBased/>
  <w15:docId w15:val="{D9B5E2E1-4C0B-4A51-9F71-07FD47C6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AB2"/>
    <w:pPr>
      <w:spacing w:after="200" w:line="276" w:lineRule="auto"/>
    </w:pPr>
    <w:rPr>
      <w:rFonts w:ascii="Calibri" w:eastAsia="Times New Roman" w:hAnsi="Calibri" w:cs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F3105"/>
    <w:pPr>
      <w:keepNext/>
      <w:widowControl w:val="0"/>
      <w:spacing w:before="20" w:after="20" w:line="240" w:lineRule="auto"/>
      <w:jc w:val="right"/>
      <w:outlineLvl w:val="1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DF3105"/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F3105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DF3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3105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F3105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uiPriority w:val="99"/>
    <w:rsid w:val="00DF3105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F3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105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DF310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DF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uiPriority w:val="99"/>
    <w:rsid w:val="00DF3105"/>
    <w:pPr>
      <w:suppressAutoHyphens/>
      <w:ind w:left="720"/>
    </w:pPr>
    <w:rPr>
      <w:rFonts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1842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Anna Szuba</cp:lastModifiedBy>
  <cp:revision>3</cp:revision>
  <dcterms:created xsi:type="dcterms:W3CDTF">2025-12-10T12:07:00Z</dcterms:created>
  <dcterms:modified xsi:type="dcterms:W3CDTF">2025-12-12T19:11:00Z</dcterms:modified>
</cp:coreProperties>
</file>